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spacing w:line="0" w:lineRule="atLeast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XII</w:t>
      </w:r>
      <w:r>
        <w:rPr>
          <w:rFonts w:ascii="Arial" w:hAnsi="Arial"/>
          <w:b/>
          <w:bCs/>
        </w:rPr>
        <w:t xml:space="preserve">I</w:t>
      </w:r>
      <w:r>
        <w:rPr>
          <w:rFonts w:ascii="Arial" w:hAnsi="Arial"/>
          <w:b/>
          <w:bCs/>
        </w:rPr>
      </w:r>
      <w:r/>
    </w:p>
    <w:p>
      <w:pPr>
        <w:pStyle w:val="1025"/>
        <w:spacing w:line="280" w:lineRule="exac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ind w:left="540"/>
        <w:jc w:val="center"/>
        <w:spacing w:line="360" w:lineRule="auto"/>
      </w:pPr>
      <w:r>
        <w:rPr>
          <w:rFonts w:ascii="Arial" w:hAnsi="Arial"/>
          <w:b/>
        </w:rPr>
        <w:t xml:space="preserve">DECLARAÇÃO DA NÃO O</w:t>
      </w:r>
      <w:r>
        <w:rPr>
          <w:rFonts w:ascii="Arial" w:hAnsi="Arial"/>
          <w:b/>
        </w:rPr>
        <w:t xml:space="preserve">CORRÊNCIA DE IMPEDIMENTOS</w:t>
      </w:r>
      <w:r>
        <w:rPr>
          <w:rFonts w:ascii="Arial" w:hAnsi="Arial"/>
          <w:b/>
        </w:rPr>
      </w:r>
      <w:r/>
    </w:p>
    <w:p>
      <w:pPr>
        <w:pStyle w:val="1025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ind w:left="0" w:right="-142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Declaro para os devidos fins, que a </w:t>
      </w:r>
      <w:r>
        <w:rPr>
          <w:rFonts w:ascii="Arial" w:hAnsi="Arial"/>
          <w:i/>
          <w:color w:val="FF0000"/>
          <w:sz w:val="22"/>
          <w:szCs w:val="22"/>
        </w:rPr>
        <w:t xml:space="preserve">[identificação da</w:t>
      </w:r>
      <w:r>
        <w:rPr>
          <w:rFonts w:ascii="Arial" w:hAnsi="Arial"/>
          <w:i/>
          <w:color w:val="FF0000"/>
          <w:sz w:val="22"/>
          <w:szCs w:val="22"/>
        </w:rPr>
        <w:t xml:space="preserve">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] </w:t>
      </w:r>
      <w:r>
        <w:rPr>
          <w:rFonts w:ascii="Arial" w:hAnsi="Arial"/>
          <w:color w:val="000000"/>
          <w:sz w:val="22"/>
          <w:szCs w:val="22"/>
        </w:rPr>
        <w:t xml:space="preserve">e seu</w:t>
      </w:r>
      <w:r>
        <w:rPr>
          <w:rFonts w:ascii="Arial" w:hAnsi="Arial"/>
          <w:color w:val="000000"/>
          <w:sz w:val="22"/>
          <w:szCs w:val="22"/>
        </w:rPr>
        <w:t xml:space="preserve">s dirigent</w:t>
      </w:r>
      <w:r>
        <w:rPr>
          <w:rFonts w:ascii="Arial" w:hAnsi="Arial"/>
          <w:color w:val="000000"/>
          <w:sz w:val="22"/>
          <w:szCs w:val="22"/>
        </w:rPr>
        <w:t xml:space="preserve">es não incorrem em quaisquer das vedações previstas no art. 39 da Lei nº</w:t>
      </w:r>
      <w:r>
        <w:rPr>
          <w:rFonts w:ascii="Arial" w:hAnsi="Arial"/>
          <w:i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13.019, de 2014. </w:t>
      </w:r>
      <w:r>
        <w:rPr>
          <w:rFonts w:ascii="Arial" w:hAnsi="Arial"/>
          <w:color w:val="000000"/>
          <w:sz w:val="22"/>
          <w:szCs w:val="22"/>
        </w:rPr>
        <w:t xml:space="preserve">Nesse sentido, a citada proponente</w:t>
      </w:r>
      <w:r>
        <w:rPr>
          <w:rFonts w:ascii="Arial" w:hAnsi="Arial"/>
          <w:color w:val="000000"/>
          <w:sz w:val="22"/>
          <w:szCs w:val="22"/>
        </w:rPr>
        <w:t xml:space="preserve">:</w:t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spacing w:line="360" w:lineRule="auto"/>
      </w:pPr>
      <w:r/>
      <w:r/>
    </w:p>
    <w:p>
      <w:pPr>
        <w:pStyle w:val="1025"/>
        <w:numPr>
          <w:ilvl w:val="0"/>
          <w:numId w:val="60"/>
        </w:numPr>
        <w:ind w:right="0"/>
        <w:jc w:val="both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Está regularmente c</w:t>
      </w:r>
      <w:r>
        <w:rPr>
          <w:rFonts w:ascii="Arial" w:hAnsi="Arial"/>
          <w:sz w:val="22"/>
          <w:szCs w:val="22"/>
        </w:rPr>
        <w:t xml:space="preserve">onstituída ou, se estrangeira, está autorizada a funcionar no</w:t>
      </w:r>
      <w:r>
        <w:rPr>
          <w:rFonts w:ascii="Arial" w:hAnsi="Arial"/>
          <w:sz w:val="22"/>
          <w:szCs w:val="22"/>
        </w:rPr>
        <w:t xml:space="preserve"> território nacional;</w:t>
      </w:r>
      <w:r>
        <w:rPr>
          <w:rFonts w:ascii="Arial" w:hAnsi="Arial"/>
        </w:rPr>
      </w:r>
      <w:r/>
    </w:p>
    <w:p>
      <w:pPr>
        <w:numPr>
          <w:ilvl w:val="0"/>
          <w:numId w:val="60"/>
        </w:numPr>
        <w:ind w:right="0"/>
        <w:jc w:val="both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  <w:highlight w:val="none"/>
        </w:rPr>
        <w:t xml:space="preserve"> </w:t>
      </w:r>
      <w:r>
        <w:rPr>
          <w:rFonts w:ascii="Arial" w:hAnsi="Arial"/>
          <w:sz w:val="22"/>
          <w:szCs w:val="22"/>
        </w:rPr>
        <w:t xml:space="preserve">Não foi omissa no dever de prestar contas de parceria anteriormente celebrada;</w:t>
      </w:r>
      <w:r>
        <w:rPr>
          <w:rFonts w:ascii="Arial" w:hAnsi="Arial"/>
        </w:rPr>
      </w:r>
      <w:r/>
    </w:p>
    <w:p>
      <w:pPr>
        <w:numPr>
          <w:ilvl w:val="0"/>
          <w:numId w:val="60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tem como dirigente membro de Poder ou do Ministério Pú</w:t>
      </w:r>
      <w:r>
        <w:rPr>
          <w:rFonts w:ascii="Arial" w:hAnsi="Arial"/>
          <w:sz w:val="22"/>
          <w:szCs w:val="22"/>
        </w:rPr>
        <w:t xml:space="preserve">blico, ou dirigente d</w:t>
      </w:r>
      <w:r>
        <w:rPr>
          <w:rFonts w:ascii="Arial" w:hAnsi="Arial"/>
          <w:sz w:val="22"/>
          <w:szCs w:val="22"/>
        </w:rPr>
        <w:t xml:space="preserve">e órgão ou entidade da administração pública da mesma esfera governamental na qual será celebrado o termo de colaboração, estendendo-se a vedação aos respectivos cônjuges ou companheiros, bem como parentes em linha reta, colateral ou p</w:t>
      </w:r>
      <w:r>
        <w:rPr>
          <w:rFonts w:ascii="Arial" w:hAnsi="Arial"/>
          <w:sz w:val="22"/>
          <w:szCs w:val="22"/>
        </w:rPr>
        <w:t xml:space="preserve">or afinidade, até o segundo grau. </w:t>
      </w:r>
      <w:r>
        <w:rPr>
          <w:rFonts w:ascii="Arial" w:hAnsi="Arial"/>
          <w:i/>
          <w:sz w:val="22"/>
          <w:szCs w:val="22"/>
        </w:rPr>
        <w:t xml:space="preserve">Observação: a presente vedação não se aplica às entidades que, pela sua própria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natureza, sejam constituídas pelas autoridades ora referidas (o que deverá ser devidamente </w:t>
      </w:r>
      <w:r>
        <w:rPr>
          <w:rFonts w:ascii="Arial" w:hAnsi="Arial"/>
          <w:i/>
          <w:sz w:val="22"/>
          <w:szCs w:val="22"/>
        </w:rPr>
        <w:t xml:space="preserve">informado e justificado pela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i/>
          <w:sz w:val="22"/>
          <w:szCs w:val="22"/>
        </w:rPr>
        <w:t xml:space="preserve">), sendo ved</w:t>
      </w:r>
      <w:r>
        <w:rPr>
          <w:rFonts w:ascii="Arial" w:hAnsi="Arial"/>
          <w:i/>
          <w:sz w:val="22"/>
          <w:szCs w:val="22"/>
        </w:rPr>
        <w:t xml:space="preserve">ado que a mesma pessoa figure no instrumento de parceria simultaneamente como dirigente e administrador público (art. 39, §5º, da Lei nº 13.019, de 2014)</w:t>
      </w:r>
      <w:r>
        <w:rPr>
          <w:rFonts w:ascii="Arial" w:hAnsi="Arial"/>
          <w:sz w:val="22"/>
          <w:szCs w:val="22"/>
        </w:rPr>
        <w:t xml:space="preserve">;</w:t>
      </w:r>
      <w:r>
        <w:rPr>
          <w:rFonts w:ascii="Arial" w:hAnsi="Arial"/>
        </w:rPr>
      </w:r>
      <w:r/>
    </w:p>
    <w:p>
      <w:pPr>
        <w:numPr>
          <w:ilvl w:val="0"/>
          <w:numId w:val="60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teve as contas rejeitadas pela administração pública nos últimos cinco anos, observadas as exce</w:t>
      </w:r>
      <w:r>
        <w:rPr>
          <w:rFonts w:ascii="Arial" w:hAnsi="Arial"/>
          <w:sz w:val="22"/>
          <w:szCs w:val="22"/>
        </w:rPr>
        <w:t xml:space="preserve">ções previstas no art</w:t>
      </w:r>
      <w:r>
        <w:rPr>
          <w:rFonts w:ascii="Arial" w:hAnsi="Arial"/>
          <w:sz w:val="22"/>
          <w:szCs w:val="22"/>
        </w:rPr>
        <w:t xml:space="preserve">. 39, </w:t>
      </w:r>
      <w:r>
        <w:rPr>
          <w:rFonts w:ascii="Arial" w:hAnsi="Arial"/>
          <w:b/>
          <w:sz w:val="22"/>
          <w:szCs w:val="22"/>
        </w:rPr>
        <w:t xml:space="preserve">caput</w:t>
      </w:r>
      <w:r>
        <w:rPr>
          <w:rFonts w:ascii="Arial" w:hAnsi="Arial"/>
          <w:sz w:val="22"/>
          <w:szCs w:val="22"/>
        </w:rPr>
        <w:t xml:space="preserve">, inciso IV, alíneas “a” a “c”, da Lei nº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13.019, de 2014;</w:t>
      </w:r>
      <w:r>
        <w:rPr>
          <w:rFonts w:ascii="Arial" w:hAnsi="Arial"/>
        </w:rPr>
      </w:r>
      <w:r/>
    </w:p>
    <w:p>
      <w:pPr>
        <w:numPr>
          <w:ilvl w:val="0"/>
          <w:numId w:val="60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se encontra submetida aos efeitos das sanções de suspensão de participação em licitação e impedimento de contratar com a administração, declaração de inidoneid</w:t>
      </w:r>
      <w:r>
        <w:rPr>
          <w:rFonts w:ascii="Arial" w:hAnsi="Arial"/>
          <w:sz w:val="22"/>
          <w:szCs w:val="22"/>
        </w:rPr>
        <w:t xml:space="preserve">ade para</w:t>
      </w:r>
      <w:bookmarkStart w:id="0" w:name="undefined"/>
      <w:r/>
      <w:bookmarkEnd w:id="0"/>
      <w:r>
        <w:rPr>
          <w:rFonts w:ascii="Arial" w:hAnsi="Arial"/>
          <w:sz w:val="22"/>
          <w:szCs w:val="22"/>
        </w:rPr>
        <w:t xml:space="preserve"> licitar ou c</w:t>
      </w:r>
      <w:r>
        <w:rPr>
          <w:rFonts w:ascii="Arial" w:hAnsi="Arial"/>
          <w:sz w:val="22"/>
          <w:szCs w:val="22"/>
        </w:rPr>
        <w:t xml:space="preserve">ontratar com a administração pública, suspensão temporária da participação em chamamento público e impedimento de celebrar parceria ou contrato com órgãos e entidades da esfera de governo da administração pública sancionadora e, por fi</w:t>
      </w:r>
      <w:r>
        <w:rPr>
          <w:rFonts w:ascii="Arial" w:hAnsi="Arial"/>
          <w:sz w:val="22"/>
          <w:szCs w:val="22"/>
        </w:rPr>
        <w:t xml:space="preserve">m, declaração de inidoneidade para participar de chamamento público ou celebrar parceria ou contrato com órgãos e entidades de todas as esferas de governo;</w:t>
      </w:r>
      <w:r>
        <w:rPr>
          <w:rFonts w:ascii="Arial" w:hAnsi="Arial"/>
        </w:rPr>
      </w:r>
      <w:r/>
    </w:p>
    <w:p>
      <w:pPr>
        <w:pStyle w:val="1025"/>
        <w:numPr>
          <w:ilvl w:val="0"/>
          <w:numId w:val="61"/>
        </w:numPr>
        <w:ind w:left="0" w:right="0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Não teve contas de parceria julgadas irregulares ou rejeitadas por Tribunal ou Conselho de Contas de</w:t>
      </w:r>
      <w:r>
        <w:rPr>
          <w:rFonts w:ascii="Arial" w:hAnsi="Arial"/>
          <w:sz w:val="22"/>
          <w:szCs w:val="22"/>
        </w:rPr>
        <w:t xml:space="preserve"> qualquer esfera da Federação, em decisão irrecorrível, nos últimos 8 (oito) anos; e</w:t>
      </w:r>
      <w:r/>
      <w:r/>
    </w:p>
    <w:p>
      <w:pPr>
        <w:pStyle w:val="1025"/>
        <w:numPr>
          <w:ilvl w:val="0"/>
          <w:numId w:val="62"/>
        </w:numPr>
        <w:ind w:left="0" w:right="0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Não tem entre seus dirigentes pessoa cujas contas relativas a parcerias tenham sido julgadas irregulares ou rejeitadas por Tribunal ou Conselho de Contas de qualquer esfer</w:t>
      </w:r>
      <w:r>
        <w:rPr>
          <w:rFonts w:ascii="Arial" w:hAnsi="Arial"/>
          <w:sz w:val="22"/>
          <w:szCs w:val="22"/>
        </w:rPr>
        <w:t xml:space="preserve">a da Federação, em decisão irrecorrível, nos últimos 8 (oito) anos; julgada responsável por falta grave e inabilitada para o e</w:t>
      </w:r>
      <w:r>
        <w:rPr>
          <w:rFonts w:ascii="Arial" w:hAnsi="Arial"/>
          <w:sz w:val="22"/>
          <w:szCs w:val="22"/>
        </w:rPr>
        <w:t xml:space="preserve">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  <w:r/>
      <w:r/>
    </w:p>
    <w:p>
      <w:pPr>
        <w:pStyle w:val="1025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2260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</w:t>
      </w:r>
      <w:r>
        <w:rPr>
          <w:rFonts w:ascii="Arial" w:hAnsi="Arial"/>
          <w:sz w:val="22"/>
        </w:rPr>
        <w:t xml:space="preserve">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0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0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 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0" w:firstLine="0"/>
        <w:jc w:val="center"/>
        <w:spacing w:line="360" w:lineRule="auto"/>
        <w:rPr>
          <w:rFonts w:ascii="Arial" w:hAnsi="Arial" w:eastAsia="Wingdings"/>
          <w:b/>
          <w:bCs/>
          <w:i/>
          <w:color w:val="000000"/>
          <w:sz w:val="22"/>
          <w:szCs w:val="22"/>
          <w:highlight w:val="none"/>
          <w:vertAlign w:val="superscript"/>
        </w:rPr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lef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lef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2035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2023-06-22T17:34:27Z</dcterms:modified>
  <cp:version>786432</cp:version>
</cp:coreProperties>
</file>